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89455" w14:textId="07A98F19" w:rsidR="000B0FDE" w:rsidRPr="0052548E" w:rsidRDefault="000B0FDE" w:rsidP="000B0FD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r>
      <w:r w:rsidR="001754F7" w:rsidRPr="001754F7">
        <w:rPr>
          <w:rFonts w:ascii="Arial" w:hAnsi="Arial" w:cs="Arial"/>
          <w:b/>
          <w:bCs/>
          <w:sz w:val="28"/>
        </w:rPr>
        <w:t>R1-1809035</w:t>
      </w:r>
      <w:bookmarkStart w:id="0" w:name="_GoBack"/>
      <w:bookmarkEnd w:id="0"/>
    </w:p>
    <w:p w14:paraId="22AF5AB8" w14:textId="77777777" w:rsidR="000B0FDE" w:rsidRPr="009513AC" w:rsidRDefault="000B0FDE" w:rsidP="000B0FD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7777777"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D9174E">
        <w:rPr>
          <w:rFonts w:ascii="Arial" w:hAnsi="Arial"/>
          <w:sz w:val="24"/>
        </w:rPr>
        <w:t>Support of quality report in msg3 for non-anchor</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7777777" w:rsidR="000B0FDE" w:rsidRDefault="000B0FDE" w:rsidP="000B0FDE"/>
    <w:p w14:paraId="305AD2FB" w14:textId="77777777" w:rsidR="000B0FDE" w:rsidRDefault="000B0FDE" w:rsidP="000B0FDE">
      <w:r>
        <w:t xml:space="preserve">In this contribution, we present our views on how to enable msg3 quality reporting for non-anchor access. </w:t>
      </w:r>
    </w:p>
    <w:p w14:paraId="59C232A2" w14:textId="77777777" w:rsidR="00151482" w:rsidRDefault="00151482" w:rsidP="001714FF"/>
    <w:p w14:paraId="2F08D884" w14:textId="5F9D7126" w:rsidR="00CA5F11" w:rsidRDefault="00C54E43" w:rsidP="00CA5F11">
      <w:pPr>
        <w:pStyle w:val="Heading1"/>
      </w:pPr>
      <w:r>
        <w:t>D</w:t>
      </w:r>
      <w:r w:rsidR="00696FED">
        <w:t>ifferences with reporting on anchor carrier</w:t>
      </w:r>
    </w:p>
    <w:p w14:paraId="31004370" w14:textId="343D5651" w:rsidR="00696FED" w:rsidRDefault="00696FED" w:rsidP="00696FED">
      <w:pPr>
        <w:rPr>
          <w:lang w:val="en-GB"/>
        </w:rPr>
      </w:pPr>
      <w:r>
        <w:rPr>
          <w:lang w:val="en-GB"/>
        </w:rPr>
        <w:t>The key differences between quality reporting in anchor and non-anchor are:</w:t>
      </w:r>
    </w:p>
    <w:p w14:paraId="302542C2" w14:textId="001A56E1" w:rsidR="00696FED" w:rsidRPr="00696FED" w:rsidRDefault="00696FED" w:rsidP="00696FED">
      <w:pPr>
        <w:pStyle w:val="ListParagraph"/>
        <w:numPr>
          <w:ilvl w:val="0"/>
          <w:numId w:val="20"/>
        </w:numPr>
        <w:rPr>
          <w:rFonts w:ascii="Times New Roman" w:eastAsia="SimSun" w:hAnsi="Times New Roman"/>
          <w:sz w:val="20"/>
          <w:szCs w:val="20"/>
          <w:lang w:val="en-GB"/>
        </w:rPr>
      </w:pPr>
      <w:r w:rsidRPr="00696FED">
        <w:rPr>
          <w:rFonts w:ascii="Times New Roman" w:eastAsia="SimSun" w:hAnsi="Times New Roman"/>
          <w:sz w:val="20"/>
          <w:szCs w:val="20"/>
          <w:lang w:val="en-GB"/>
        </w:rPr>
        <w:t>In Rel-14, the UE is not required to recompute msg3 during random access procedure. Rel-15 UEs supporting EDT shall be capable of doing it. Thus, for Rel-16, we should not restrict ourselves to solutions that require constant msg3 payload during random access procedure.</w:t>
      </w:r>
    </w:p>
    <w:p w14:paraId="0D83ACBD" w14:textId="29C1297B" w:rsidR="00696FED" w:rsidRDefault="00696FED" w:rsidP="00696FED">
      <w:pPr>
        <w:pStyle w:val="ListParagraph"/>
        <w:numPr>
          <w:ilvl w:val="0"/>
          <w:numId w:val="20"/>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In anchor carrier NRS is always present. In non-anchor carrier NRS will be present only during the </w:t>
      </w:r>
      <w:proofErr w:type="gramStart"/>
      <w:r w:rsidRPr="00696FED">
        <w:rPr>
          <w:rFonts w:ascii="Times New Roman" w:eastAsia="SimSun" w:hAnsi="Times New Roman"/>
          <w:sz w:val="20"/>
          <w:szCs w:val="20"/>
          <w:lang w:val="en-GB"/>
        </w:rPr>
        <w:t>random access</w:t>
      </w:r>
      <w:proofErr w:type="gramEnd"/>
      <w:r w:rsidRPr="00696FED">
        <w:rPr>
          <w:rFonts w:ascii="Times New Roman" w:eastAsia="SimSun" w:hAnsi="Times New Roman"/>
          <w:sz w:val="20"/>
          <w:szCs w:val="20"/>
          <w:lang w:val="en-GB"/>
        </w:rPr>
        <w:t xml:space="preserve"> response window.</w:t>
      </w:r>
    </w:p>
    <w:p w14:paraId="72611EAF" w14:textId="77777777" w:rsidR="00696FED" w:rsidRPr="00696FED" w:rsidRDefault="00696FED" w:rsidP="00696FED">
      <w:pPr>
        <w:pStyle w:val="ListParagraph"/>
        <w:rPr>
          <w:rFonts w:ascii="Times New Roman" w:eastAsia="SimSun" w:hAnsi="Times New Roman"/>
          <w:sz w:val="20"/>
          <w:szCs w:val="20"/>
          <w:lang w:val="en-GB"/>
        </w:rPr>
      </w:pPr>
    </w:p>
    <w:p w14:paraId="24A46B3A" w14:textId="289ACBA5" w:rsidR="00696FED" w:rsidRDefault="00696FED" w:rsidP="00696FED">
      <w:pPr>
        <w:rPr>
          <w:lang w:val="en-GB"/>
        </w:rPr>
      </w:pPr>
      <w:r>
        <w:rPr>
          <w:lang w:val="en-GB"/>
        </w:rPr>
        <w:t>Thus, in the following we propose a methodology and details in line with these differences.</w:t>
      </w:r>
    </w:p>
    <w:p w14:paraId="2E7BA339" w14:textId="77777777" w:rsidR="00696FED" w:rsidRDefault="00696FED" w:rsidP="00696FED"/>
    <w:p w14:paraId="5831927B" w14:textId="2F78B5F4" w:rsidR="00696FED" w:rsidRDefault="00696FED" w:rsidP="00696FED">
      <w:pPr>
        <w:pStyle w:val="Heading1"/>
      </w:pPr>
      <w:r>
        <w:t>Methodology</w:t>
      </w:r>
    </w:p>
    <w:p w14:paraId="542C6908" w14:textId="29786878" w:rsidR="00151482" w:rsidRDefault="00696FED" w:rsidP="00151482">
      <w:pPr>
        <w:rPr>
          <w:lang w:eastAsia="x-none"/>
        </w:rPr>
      </w:pPr>
      <w:r>
        <w:rPr>
          <w:lang w:val="en-GB"/>
        </w:rPr>
        <w:t>Similar to the CQI definition, we propose to define the DL quality in a similar</w:t>
      </w:r>
      <w:r w:rsidR="00151482">
        <w:rPr>
          <w:lang w:eastAsia="x-none"/>
        </w:rPr>
        <w:t xml:space="preserve"> way the CQI is defined in TS 36.213</w:t>
      </w:r>
      <w:r w:rsidR="006010BD">
        <w:rPr>
          <w:lang w:eastAsia="x-none"/>
        </w:rPr>
        <w:t xml:space="preserve"> for LTE</w:t>
      </w:r>
      <w:r w:rsidR="00151482">
        <w:rPr>
          <w:lang w:eastAsia="x-none"/>
        </w:rPr>
        <w:t>:</w:t>
      </w:r>
    </w:p>
    <w:p w14:paraId="511A6052" w14:textId="1408E58D" w:rsidR="00151482" w:rsidRDefault="00151482" w:rsidP="00151482">
      <w:pPr>
        <w:rPr>
          <w:lang w:val="en-GB"/>
        </w:rPr>
      </w:pPr>
      <w:r w:rsidRPr="00151482">
        <w:rPr>
          <w:noProof/>
          <w:lang w:val="en-GB"/>
        </w:rPr>
        <mc:AlternateContent>
          <mc:Choice Requires="wps">
            <w:drawing>
              <wp:inline distT="0" distB="0" distL="0" distR="0" wp14:anchorId="58DEE03D" wp14:editId="3EA32681">
                <wp:extent cx="5909481" cy="627797"/>
                <wp:effectExtent l="0" t="0" r="1524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627797"/>
                        </a:xfrm>
                        <a:prstGeom prst="rect">
                          <a:avLst/>
                        </a:prstGeom>
                        <a:solidFill>
                          <a:srgbClr val="FFFFFF"/>
                        </a:solidFill>
                        <a:ln w="9525">
                          <a:solidFill>
                            <a:srgbClr val="000000"/>
                          </a:solidFill>
                          <a:miter lim="800000"/>
                          <a:headEnd/>
                          <a:tailEnd/>
                        </a:ln>
                      </wps:spPr>
                      <wps:txb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wps:txbx>
                      <wps:bodyPr rot="0" vert="horz" wrap="square" lIns="91440" tIns="45720" rIns="91440" bIns="45720" anchor="t" anchorCtr="0">
                        <a:noAutofit/>
                      </wps:bodyPr>
                    </wps:wsp>
                  </a:graphicData>
                </a:graphic>
              </wp:inline>
            </w:drawing>
          </mc:Choice>
          <mc:Fallback>
            <w:pict>
              <v:shapetype w14:anchorId="58DEE03D" id="_x0000_t202" coordsize="21600,21600" o:spt="202" path="m,l,21600r21600,l21600,xe">
                <v:stroke joinstyle="miter"/>
                <v:path gradientshapeok="t" o:connecttype="rect"/>
              </v:shapetype>
              <v:shape id="Text Box 2" o:spid="_x0000_s1026" type="#_x0000_t202" style="width:465.3pt;height: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">
                <v:textbox>
                  <w:txbxContent>
                    <w:p w14:paraId="70EDB630" w14:textId="77777777" w:rsidR="00151482" w:rsidRPr="00E9040D" w:rsidRDefault="00151482" w:rsidP="00151482">
                      <w:pPr>
                        <w:pStyle w:val="B1"/>
                      </w:pPr>
                      <w:r>
                        <w:t>-</w:t>
                      </w:r>
                      <w:r>
                        <w:tab/>
                      </w:r>
                      <w:r w:rsidRPr="00E9040D">
                        <w:t xml:space="preserve">A single PDSCH transport block with a combination of modulation scheme and transport block size corresponding to the CQI </w:t>
                      </w:r>
                      <w:proofErr w:type="gramStart"/>
                      <w:r w:rsidRPr="00E9040D">
                        <w:t>index, and</w:t>
                      </w:r>
                      <w:proofErr w:type="gramEnd"/>
                      <w:r w:rsidRPr="00E9040D">
                        <w:t xml:space="preserve"> occupying a group of downlink physical resource blocks termed the CSI reference resource, could be received with a transport block error probability not exceeding 0.1. </w:t>
                      </w:r>
                    </w:p>
                    <w:p w14:paraId="6A734E5D" w14:textId="77777777" w:rsidR="00151482" w:rsidRDefault="00151482" w:rsidP="00151482"/>
                  </w:txbxContent>
                </v:textbox>
                <w10:anchorlock/>
              </v:shape>
            </w:pict>
          </mc:Fallback>
        </mc:AlternateContent>
      </w:r>
    </w:p>
    <w:p w14:paraId="345B1F06" w14:textId="423F76D3" w:rsidR="00151482" w:rsidRDefault="00773CB5" w:rsidP="00151482">
      <w:pPr>
        <w:rPr>
          <w:lang w:val="en-GB"/>
        </w:rPr>
      </w:pPr>
      <w:r>
        <w:rPr>
          <w:lang w:val="en-GB"/>
        </w:rPr>
        <w:t>We make the following proposal on the definition of DL quality reporting</w:t>
      </w:r>
      <w:r w:rsidR="00696FED">
        <w:rPr>
          <w:lang w:val="en-GB"/>
        </w:rPr>
        <w:t xml:space="preserve"> for non-anchor carriers</w:t>
      </w:r>
      <w:r>
        <w:rPr>
          <w:lang w:val="en-GB"/>
        </w:rPr>
        <w:t>.</w:t>
      </w:r>
    </w:p>
    <w:p w14:paraId="35498EB7" w14:textId="449BC70A" w:rsidR="00151482" w:rsidRDefault="001849A3" w:rsidP="00151482">
      <w:pPr>
        <w:rPr>
          <w:b/>
          <w:lang w:val="en-GB"/>
        </w:rPr>
      </w:pPr>
      <w:r w:rsidRPr="001849A3">
        <w:rPr>
          <w:b/>
          <w:u w:val="single"/>
          <w:lang w:val="en-GB"/>
        </w:rPr>
        <w:lastRenderedPageBreak/>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w:t>
      </w:r>
      <w:r w:rsidR="006010BD">
        <w:rPr>
          <w:b/>
          <w:lang w:val="en-GB"/>
        </w:rPr>
        <w:t>N</w:t>
      </w:r>
      <w:r>
        <w:rPr>
          <w:b/>
          <w:lang w:val="en-GB"/>
        </w:rPr>
        <w:t>PDCCH transmitted in the ‘NPDCCH reference resource’ to be decoded with an error probability not exceeding 0.01</w:t>
      </w:r>
      <w:r w:rsidR="00A263AB">
        <w:rPr>
          <w:b/>
          <w:lang w:val="en-GB"/>
        </w:rPr>
        <w:t>”</w:t>
      </w:r>
      <w:r>
        <w:rPr>
          <w:b/>
          <w:lang w:val="en-GB"/>
        </w:rPr>
        <w:t xml:space="preserve">. </w:t>
      </w:r>
    </w:p>
    <w:p w14:paraId="1874E98D" w14:textId="58308F6D" w:rsidR="001849A3" w:rsidRDefault="001849A3" w:rsidP="00151482">
      <w:pPr>
        <w:rPr>
          <w:b/>
          <w:lang w:val="en-GB"/>
        </w:rPr>
      </w:pPr>
    </w:p>
    <w:p w14:paraId="5FCA5790" w14:textId="3F902DD5" w:rsidR="001849A3" w:rsidRDefault="001849A3" w:rsidP="001849A3">
      <w:pPr>
        <w:pStyle w:val="Heading1"/>
      </w:pPr>
      <w:r>
        <w:t xml:space="preserve">Definition of reference resource and measurement </w:t>
      </w:r>
      <w:r w:rsidR="00A263AB">
        <w:t>resources</w:t>
      </w:r>
    </w:p>
    <w:p w14:paraId="15DD2468" w14:textId="0F74FF56" w:rsidR="001849A3" w:rsidRDefault="00773CB5" w:rsidP="001849A3">
      <w:pPr>
        <w:rPr>
          <w:lang w:val="en-GB"/>
        </w:rPr>
      </w:pPr>
      <w:r w:rsidRPr="00773CB5">
        <w:rPr>
          <w:lang w:val="en-GB"/>
        </w:rPr>
        <w:t>Based</w:t>
      </w:r>
      <w:r>
        <w:rPr>
          <w:lang w:val="en-GB"/>
        </w:rPr>
        <w:t xml:space="preserve"> on the principle of proposal 1, and in line with what is done for LTE, we need to define at least the following:</w:t>
      </w:r>
    </w:p>
    <w:p w14:paraId="16743AC6" w14:textId="00972D94" w:rsidR="00773CB5"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w:t>
      </w:r>
      <w:r w:rsidR="00773CB5" w:rsidRPr="00E826DB">
        <w:rPr>
          <w:rFonts w:ascii="Times New Roman" w:eastAsia="SimSun" w:hAnsi="Times New Roman"/>
          <w:sz w:val="20"/>
          <w:szCs w:val="20"/>
          <w:lang w:val="en-GB"/>
        </w:rPr>
        <w:t xml:space="preserve">he “reference resource”, i.e., </w:t>
      </w:r>
      <w:r>
        <w:rPr>
          <w:rFonts w:ascii="Times New Roman" w:eastAsia="SimSun" w:hAnsi="Times New Roman"/>
          <w:sz w:val="20"/>
          <w:szCs w:val="20"/>
          <w:lang w:val="en-GB"/>
        </w:rPr>
        <w:t>where</w:t>
      </w:r>
      <w:r w:rsidR="00773CB5" w:rsidRPr="00E826DB">
        <w:rPr>
          <w:rFonts w:ascii="Times New Roman" w:eastAsia="SimSun" w:hAnsi="Times New Roman"/>
          <w:sz w:val="20"/>
          <w:szCs w:val="20"/>
          <w:lang w:val="en-GB"/>
        </w:rPr>
        <w:t xml:space="preserve"> the placement of the virtual NPDCCH</w:t>
      </w:r>
      <w:r>
        <w:rPr>
          <w:rFonts w:ascii="Times New Roman" w:eastAsia="SimSun" w:hAnsi="Times New Roman"/>
          <w:sz w:val="20"/>
          <w:szCs w:val="20"/>
          <w:lang w:val="en-GB"/>
        </w:rPr>
        <w:t xml:space="preserve"> is</w:t>
      </w:r>
      <w:r w:rsidR="00773CB5" w:rsidRPr="00E826DB">
        <w:rPr>
          <w:rFonts w:ascii="Times New Roman" w:eastAsia="SimSun" w:hAnsi="Times New Roman"/>
          <w:sz w:val="20"/>
          <w:szCs w:val="20"/>
          <w:lang w:val="en-GB"/>
        </w:rPr>
        <w:t>.</w:t>
      </w:r>
    </w:p>
    <w:p w14:paraId="64167196" w14:textId="7A0793B3" w:rsidR="00E826DB"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The “measurement resources”, i.e., where the UE is allowed to measure to determine the DL quality.</w:t>
      </w:r>
    </w:p>
    <w:p w14:paraId="1B33C6FE" w14:textId="2C65B353" w:rsidR="00E826DB" w:rsidRDefault="00E826DB" w:rsidP="00E826DB">
      <w:pPr>
        <w:rPr>
          <w:lang w:val="en-GB"/>
        </w:rPr>
      </w:pPr>
    </w:p>
    <w:p w14:paraId="549D41B4" w14:textId="617FE2FB" w:rsidR="00E826DB" w:rsidRDefault="00E826DB" w:rsidP="00E826DB">
      <w:pPr>
        <w:rPr>
          <w:lang w:val="en-GB"/>
        </w:rPr>
      </w:pPr>
      <w:r>
        <w:rPr>
          <w:lang w:val="en-GB"/>
        </w:rPr>
        <w:t xml:space="preserve">For the reference resource, </w:t>
      </w:r>
      <w:r w:rsidR="00FF4EE1">
        <w:rPr>
          <w:lang w:val="en-GB"/>
        </w:rPr>
        <w:t>we propose to make the NPDCCH reference resource equal to the first candidate in the entire search space. This has the following advantages with respect to other options:</w:t>
      </w:r>
    </w:p>
    <w:p w14:paraId="0233A28F" w14:textId="465B6778"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The UE always monitors this candidate (it is impossible to receive a </w:t>
      </w:r>
      <w:proofErr w:type="gramStart"/>
      <w:r w:rsidRPr="00696FED">
        <w:rPr>
          <w:rFonts w:ascii="Times New Roman" w:eastAsia="SimSun" w:hAnsi="Times New Roman"/>
          <w:sz w:val="20"/>
          <w:szCs w:val="20"/>
          <w:lang w:val="en-GB"/>
        </w:rPr>
        <w:t>random access</w:t>
      </w:r>
      <w:proofErr w:type="gramEnd"/>
      <w:r w:rsidRPr="00696FED">
        <w:rPr>
          <w:rFonts w:ascii="Times New Roman" w:eastAsia="SimSun" w:hAnsi="Times New Roman"/>
          <w:sz w:val="20"/>
          <w:szCs w:val="20"/>
          <w:lang w:val="en-GB"/>
        </w:rPr>
        <w:t xml:space="preserve"> response before this).</w:t>
      </w:r>
    </w:p>
    <w:p w14:paraId="3B9D3126" w14:textId="4051AAEF"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The NPDCCH reference resource is fixed in time (tying it to the actual received NPDCCH would make the definition more cumbersome).</w:t>
      </w:r>
    </w:p>
    <w:p w14:paraId="181773DC" w14:textId="104F1361" w:rsidR="00FF4EE1" w:rsidRPr="00696FED" w:rsidRDefault="00FF4EE1" w:rsidP="00FF4EE1">
      <w:pPr>
        <w:pStyle w:val="ListParagraph"/>
        <w:numPr>
          <w:ilvl w:val="1"/>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If the NPDCCH reference resource is not fixed in time, the UE may need to continuously compute the DL quality. With this approach, the UE just computes the DL quality once.</w:t>
      </w:r>
    </w:p>
    <w:p w14:paraId="44A71B3F" w14:textId="621213C5"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It doesn’t require the UE to make additional wake-ups to measure.</w:t>
      </w:r>
    </w:p>
    <w:p w14:paraId="6A8D4A60" w14:textId="4C273096" w:rsidR="00FF4EE1" w:rsidRDefault="00FF4EE1" w:rsidP="00FF4EE1">
      <w:pPr>
        <w:rPr>
          <w:lang w:val="en-GB"/>
        </w:rPr>
      </w:pPr>
    </w:p>
    <w:p w14:paraId="167FD8DE" w14:textId="71321248" w:rsidR="00FF4EE1" w:rsidRPr="00FF4EE1" w:rsidRDefault="00FF4EE1" w:rsidP="00FF4EE1">
      <w:pPr>
        <w:rPr>
          <w:lang w:val="en-GB"/>
        </w:rPr>
      </w:pPr>
      <w:r>
        <w:rPr>
          <w:lang w:val="en-GB"/>
        </w:rPr>
        <w:t>The definition of this NPDCCH reference resource is depicted in Figure 1.</w:t>
      </w:r>
    </w:p>
    <w:p w14:paraId="47642D1B" w14:textId="69233D26" w:rsidR="00E826DB" w:rsidRDefault="00E826DB" w:rsidP="00E826DB">
      <w:pPr>
        <w:rPr>
          <w:lang w:val="en-GB"/>
        </w:rPr>
      </w:pPr>
    </w:p>
    <w:p w14:paraId="27C5672B" w14:textId="77777777" w:rsidR="00FF4EE1" w:rsidRDefault="00E826DB" w:rsidP="00FF4EE1">
      <w:pPr>
        <w:keepNext/>
      </w:pPr>
      <w:r w:rsidRPr="00E826DB">
        <w:object w:dxaOrig="13171" w:dyaOrig="3662" w14:anchorId="7C160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15pt;height:142.5pt" o:ole="">
            <v:imagedata r:id="rId12" o:title=""/>
          </v:shape>
          <o:OLEObject Type="Embed" ProgID="Visio.Drawing.11" ShapeID="_x0000_i1025" DrawAspect="Content" ObjectID="_1595425877" r:id="rId13"/>
        </w:object>
      </w:r>
    </w:p>
    <w:p w14:paraId="07EDBA91" w14:textId="26E7B704" w:rsidR="00E826DB" w:rsidRDefault="00FF4EE1" w:rsidP="00FF4EE1">
      <w:pPr>
        <w:pStyle w:val="Caption"/>
        <w:jc w:val="center"/>
        <w:rPr>
          <w:lang w:val="en-GB"/>
        </w:rPr>
      </w:pPr>
      <w:r>
        <w:t xml:space="preserve">Figure </w:t>
      </w:r>
      <w:r w:rsidR="001B3708">
        <w:rPr>
          <w:noProof/>
        </w:rPr>
        <w:fldChar w:fldCharType="begin"/>
      </w:r>
      <w:r w:rsidR="001B3708">
        <w:rPr>
          <w:noProof/>
        </w:rPr>
        <w:instrText xml:space="preserve"> SEQ Figure \* ARABIC </w:instrText>
      </w:r>
      <w:r w:rsidR="001B3708">
        <w:rPr>
          <w:noProof/>
        </w:rPr>
        <w:fldChar w:fldCharType="separate"/>
      </w:r>
      <w:r>
        <w:rPr>
          <w:noProof/>
        </w:rPr>
        <w:t>1</w:t>
      </w:r>
      <w:r w:rsidR="001B3708">
        <w:rPr>
          <w:noProof/>
        </w:rPr>
        <w:fldChar w:fldCharType="end"/>
      </w:r>
      <w:r>
        <w:t xml:space="preserve"> NPDCCH reference resource definition with respect to NPDCCH/NPDSCH/NPUSCH.</w:t>
      </w:r>
    </w:p>
    <w:p w14:paraId="15AAE0CA" w14:textId="77777777" w:rsidR="00E826DB" w:rsidRPr="00E826DB" w:rsidRDefault="00E826DB" w:rsidP="00E826DB">
      <w:pPr>
        <w:rPr>
          <w:lang w:val="en-GB"/>
        </w:rPr>
      </w:pPr>
    </w:p>
    <w:p w14:paraId="5711B304" w14:textId="1AADBA9F" w:rsidR="001849A3" w:rsidRPr="001849A3" w:rsidRDefault="001849A3" w:rsidP="001849A3">
      <w:pPr>
        <w:rPr>
          <w:b/>
          <w:lang w:val="en-GB"/>
        </w:rPr>
      </w:pPr>
      <w:r w:rsidRPr="001849A3">
        <w:rPr>
          <w:b/>
          <w:u w:val="single"/>
          <w:lang w:val="en-GB"/>
        </w:rPr>
        <w:t>Proposal 2:</w:t>
      </w:r>
      <w:r>
        <w:rPr>
          <w:b/>
          <w:lang w:val="en-GB"/>
        </w:rPr>
        <w:t xml:space="preserve"> The ‘NPDCCH reference resource’ is defined as ‘A candidate mapped onto the Type-2 common search space with aggregation level of AL=2 and starting in subframe </w:t>
      </w:r>
      <w:r>
        <w:rPr>
          <w:b/>
          <w:i/>
          <w:lang w:val="en-GB"/>
        </w:rPr>
        <w:t>s</w:t>
      </w:r>
      <w:r>
        <w:rPr>
          <w:b/>
          <w:i/>
          <w:vertAlign w:val="subscript"/>
          <w:lang w:val="en-GB"/>
        </w:rPr>
        <w:t>0</w:t>
      </w:r>
      <w:r>
        <w:rPr>
          <w:b/>
          <w:i/>
          <w:lang w:val="en-GB"/>
        </w:rPr>
        <w:t>”</w:t>
      </w:r>
      <w:r>
        <w:rPr>
          <w:b/>
          <w:lang w:val="en-GB"/>
        </w:rPr>
        <w:t xml:space="preserve"> </w:t>
      </w:r>
    </w:p>
    <w:p w14:paraId="59FB3432" w14:textId="753D9FF0" w:rsidR="001849A3" w:rsidRDefault="001849A3" w:rsidP="00151482">
      <w:pPr>
        <w:rPr>
          <w:b/>
          <w:lang w:val="en-GB"/>
        </w:rPr>
      </w:pPr>
    </w:p>
    <w:p w14:paraId="582D9F6A" w14:textId="22A171C8" w:rsidR="001849A3" w:rsidRDefault="001849A3" w:rsidP="00151482">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w:t>
      </w:r>
      <w:r w:rsidR="00A263AB">
        <w:rPr>
          <w:b/>
          <w:lang w:val="en-GB"/>
        </w:rPr>
        <w:t xml:space="preserve">first subframe of the first candidate </w:t>
      </w:r>
      <w:r>
        <w:rPr>
          <w:b/>
          <w:lang w:val="en-GB"/>
        </w:rPr>
        <w:t xml:space="preserve">of the first Type-2 search space in the </w:t>
      </w:r>
      <w:proofErr w:type="gramStart"/>
      <w:r>
        <w:rPr>
          <w:b/>
          <w:lang w:val="en-GB"/>
        </w:rPr>
        <w:t>random access</w:t>
      </w:r>
      <w:proofErr w:type="gramEnd"/>
      <w:r>
        <w:rPr>
          <w:b/>
          <w:lang w:val="en-GB"/>
        </w:rPr>
        <w:t xml:space="preserve"> response window of the current random access attempt.</w:t>
      </w:r>
    </w:p>
    <w:p w14:paraId="412F9557" w14:textId="598104AB" w:rsidR="00FF4EE1" w:rsidRDefault="00FF4EE1" w:rsidP="00151482">
      <w:pPr>
        <w:rPr>
          <w:b/>
          <w:lang w:val="en-GB"/>
        </w:rPr>
      </w:pPr>
    </w:p>
    <w:p w14:paraId="459CFAB3" w14:textId="5FDB2981" w:rsidR="00FF4EE1" w:rsidRPr="00175C8B" w:rsidRDefault="00175C8B" w:rsidP="00151482">
      <w:pPr>
        <w:rPr>
          <w:lang w:val="en-GB"/>
        </w:rPr>
      </w:pPr>
      <w:r w:rsidRPr="00175C8B">
        <w:rPr>
          <w:lang w:val="en-GB"/>
        </w:rPr>
        <w:t xml:space="preserve">On the </w:t>
      </w:r>
      <w:r>
        <w:rPr>
          <w:lang w:val="en-GB"/>
        </w:rPr>
        <w:t xml:space="preserve">subframes used for measurement, there is no reason to restrict these, and it should be left to UE implementation. Note that the UE is aware of which subframes contain NRS and which ones do not, the UE will only use NRS when it is </w:t>
      </w:r>
      <w:r>
        <w:rPr>
          <w:lang w:val="en-GB"/>
        </w:rPr>
        <w:lastRenderedPageBreak/>
        <w:t>present. This being said, it is not desirable to force the UE to wake up additional times just for the sake of having a more accurate quality report, and RAN4 requirements should take this into account. Also, the case where NPDCCH is early terminated and the UE goes to sleep before the entire duration should be taken into account when defining this requirement.</w:t>
      </w:r>
    </w:p>
    <w:p w14:paraId="5A9AB6D9" w14:textId="7C659339" w:rsidR="001849A3" w:rsidRDefault="001849A3" w:rsidP="00151482">
      <w:pPr>
        <w:rPr>
          <w:b/>
          <w:lang w:val="en-GB"/>
        </w:rPr>
      </w:pPr>
    </w:p>
    <w:p w14:paraId="5FCDE8B1" w14:textId="37672D6D" w:rsidR="001849A3" w:rsidRDefault="001849A3" w:rsidP="00151482">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w:t>
      </w:r>
      <w:r w:rsidR="00712DEE">
        <w:rPr>
          <w:b/>
          <w:lang w:val="en-GB"/>
        </w:rPr>
        <w:t>is</w:t>
      </w:r>
      <w:proofErr w:type="gramEnd"/>
      <w:r w:rsidR="00712DEE">
        <w:rPr>
          <w:b/>
          <w:lang w:val="en-GB"/>
        </w:rPr>
        <w:t xml:space="preserve"> based on “an </w:t>
      </w:r>
      <w:r w:rsidR="00712DEE" w:rsidRPr="00712DEE">
        <w:rPr>
          <w:b/>
          <w:lang w:val="en-GB"/>
        </w:rPr>
        <w:t>unrestricted observation interval in time, and an unrestricted observation interval in frequency</w:t>
      </w:r>
      <w:r w:rsidR="00712DEE">
        <w:rPr>
          <w:b/>
          <w:lang w:val="en-GB"/>
        </w:rPr>
        <w:t>”.</w:t>
      </w:r>
    </w:p>
    <w:p w14:paraId="72DDA977" w14:textId="3CBB3005" w:rsidR="001849A3" w:rsidRDefault="001849A3" w:rsidP="00151482">
      <w:pPr>
        <w:rPr>
          <w:b/>
          <w:lang w:val="en-GB"/>
        </w:rPr>
      </w:pPr>
    </w:p>
    <w:p w14:paraId="228EE23A" w14:textId="04F3BE9C" w:rsidR="001849A3" w:rsidRDefault="001849A3" w:rsidP="001849A3">
      <w:pPr>
        <w:pStyle w:val="Heading1"/>
      </w:pPr>
      <w:r>
        <w:t xml:space="preserve">Possible set of values for </w:t>
      </w:r>
      <w:bookmarkStart w:id="3" w:name="_Hlk510687731"/>
      <w:proofErr w:type="spellStart"/>
      <w:r w:rsidRPr="001849A3">
        <w:t>R</w:t>
      </w:r>
      <w:r w:rsidRPr="001849A3">
        <w:rPr>
          <w:vertAlign w:val="subscript"/>
        </w:rPr>
        <w:t>desired</w:t>
      </w:r>
      <w:bookmarkEnd w:id="3"/>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3708E1CD">
                <wp:extent cx="6371772" cy="827315"/>
                <wp:effectExtent l="0" t="0"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827315"/>
                        </a:xfrm>
                        <a:prstGeom prst="rect">
                          <a:avLst/>
                        </a:prstGeom>
                        <a:solidFill>
                          <a:schemeClr val="bg2">
                            <a:lumMod val="90000"/>
                          </a:schemeClr>
                        </a:solidFill>
                        <a:ln w="9525">
                          <a:solidFill>
                            <a:srgbClr val="000000"/>
                          </a:solidFill>
                          <a:miter lim="800000"/>
                          <a:headEnd/>
                          <a:tailEnd/>
                        </a:ln>
                      </wps:spPr>
                      <wps:txb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wps:txbx>
                      <wps:bodyPr rot="0" vert="horz" wrap="square" lIns="91440" tIns="45720" rIns="91440" bIns="45720" anchor="t" anchorCtr="0">
                        <a:noAutofit/>
                      </wps:bodyPr>
                    </wps:wsp>
                  </a:graphicData>
                </a:graphic>
              </wp:inline>
            </w:drawing>
          </mc:Choice>
          <mc:Fallback>
            <w:pict>
              <v:shape w14:anchorId="7F85B35D" id="_x0000_s1027" type="#_x0000_t202" style="width:501.7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" fillcolor="#cfcdcd [2894]">
                <v:textbo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v:textbox>
                <w10:anchorlock/>
              </v:shape>
            </w:pict>
          </mc:Fallback>
        </mc:AlternateContent>
      </w:r>
    </w:p>
    <w:p w14:paraId="070BA794" w14:textId="0AFE69D2" w:rsidR="00175C8B" w:rsidRPr="00175C8B" w:rsidRDefault="00175C8B" w:rsidP="001849A3">
      <w:r>
        <w:t xml:space="preserve">In total, 12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we would need to reserve 4 bits in msg3, which seems excessive.</w:t>
      </w:r>
    </w:p>
    <w:p w14:paraId="4B8DBF66" w14:textId="12C8FE8B" w:rsidR="001849A3" w:rsidRDefault="001849A3" w:rsidP="001849A3">
      <w:pPr>
        <w:rPr>
          <w:b/>
          <w:lang w:val="en-GB"/>
        </w:rPr>
      </w:pPr>
      <w:r w:rsidRPr="001849A3">
        <w:rPr>
          <w:b/>
          <w:u w:val="single"/>
          <w:lang w:val="en-GB"/>
        </w:rPr>
        <w:t>Observation 1:</w:t>
      </w:r>
      <w:r>
        <w:rPr>
          <w:b/>
          <w:lang w:val="en-GB"/>
        </w:rPr>
        <w:t xml:space="preserve"> Reporting all the possible values of </w:t>
      </w:r>
      <w:proofErr w:type="spellStart"/>
      <w:r>
        <w:rPr>
          <w:b/>
          <w:lang w:val="en-GB"/>
        </w:rPr>
        <w:t>R</w:t>
      </w:r>
      <w:r>
        <w:rPr>
          <w:b/>
          <w:vertAlign w:val="subscript"/>
          <w:lang w:val="en-GB"/>
        </w:rPr>
        <w:t>desired</w:t>
      </w:r>
      <w:proofErr w:type="spellEnd"/>
      <w:r>
        <w:rPr>
          <w:b/>
          <w:lang w:val="en-GB"/>
        </w:rPr>
        <w:t xml:space="preserve"> re</w:t>
      </w:r>
      <w:r w:rsidR="00175C8B">
        <w:rPr>
          <w:b/>
          <w:lang w:val="en-GB"/>
        </w:rPr>
        <w:t>quires 4 bits in msg3</w:t>
      </w:r>
      <w:r>
        <w:rPr>
          <w:b/>
          <w:lang w:val="en-GB"/>
        </w:rPr>
        <w:t>.</w:t>
      </w:r>
    </w:p>
    <w:p w14:paraId="6A98CEE5" w14:textId="2F1ACEC6" w:rsidR="001849A3" w:rsidRPr="00175C8B" w:rsidRDefault="00175C8B" w:rsidP="001849A3">
      <w:pPr>
        <w:rPr>
          <w:lang w:val="en-GB"/>
        </w:rPr>
      </w:pPr>
      <w:r w:rsidRPr="00175C8B">
        <w:rPr>
          <w:lang w:val="en-GB"/>
        </w:rPr>
        <w:t xml:space="preserve">One </w:t>
      </w:r>
      <w:r>
        <w:rPr>
          <w:lang w:val="en-GB"/>
        </w:rPr>
        <w:t xml:space="preserve">observation is that, for a given coverage level, it is extremely unlikely that the UE will report a value of </w:t>
      </w:r>
      <w:proofErr w:type="spellStart"/>
      <w:r>
        <w:rPr>
          <w:lang w:val="en-GB"/>
        </w:rPr>
        <w:t>R</w:t>
      </w:r>
      <w:r>
        <w:rPr>
          <w:vertAlign w:val="subscript"/>
          <w:lang w:val="en-GB"/>
        </w:rPr>
        <w:t>desired</w:t>
      </w:r>
      <w:proofErr w:type="spellEnd"/>
      <w:r>
        <w:rPr>
          <w:lang w:val="en-GB"/>
        </w:rPr>
        <w:t xml:space="preserve"> that is several orders of magnitude larger/smaller than the configured </w:t>
      </w:r>
      <w:proofErr w:type="spellStart"/>
      <w:r>
        <w:rPr>
          <w:lang w:val="en-GB"/>
        </w:rPr>
        <w:t>R</w:t>
      </w:r>
      <w:r w:rsidRPr="00175C8B">
        <w:rPr>
          <w:vertAlign w:val="subscript"/>
          <w:lang w:val="en-GB"/>
        </w:rPr>
        <w:t>max</w:t>
      </w:r>
      <w:proofErr w:type="spellEnd"/>
      <w:r>
        <w:rPr>
          <w:vertAlign w:val="subscript"/>
          <w:lang w:val="en-GB"/>
        </w:rPr>
        <w:t xml:space="preserve"> </w:t>
      </w:r>
      <w:r>
        <w:rPr>
          <w:lang w:val="en-GB"/>
        </w:rPr>
        <w:t xml:space="preserve">for the corresponding coverage level. For example, consider the simple case of </w:t>
      </w:r>
      <w:proofErr w:type="spellStart"/>
      <w:r>
        <w:rPr>
          <w:lang w:val="en-GB"/>
        </w:rPr>
        <w:t>R</w:t>
      </w:r>
      <w:r>
        <w:rPr>
          <w:vertAlign w:val="subscript"/>
          <w:lang w:val="en-GB"/>
        </w:rPr>
        <w:t>max</w:t>
      </w:r>
      <w:proofErr w:type="spellEnd"/>
      <w:r>
        <w:rPr>
          <w:lang w:val="en-GB"/>
        </w:rPr>
        <w:t xml:space="preserve"> = 1. Then, it is very unlikely that the UE reports 2048 repetitions. </w:t>
      </w:r>
    </w:p>
    <w:p w14:paraId="7B4F225D" w14:textId="327B5660" w:rsidR="001849A3" w:rsidRDefault="001849A3" w:rsidP="001849A3">
      <w:pPr>
        <w:rPr>
          <w:b/>
          <w:lang w:val="en-GB"/>
        </w:rPr>
      </w:pPr>
      <w:r w:rsidRPr="001849A3">
        <w:rPr>
          <w:b/>
          <w:u w:val="single"/>
          <w:lang w:val="en-GB"/>
        </w:rPr>
        <w:t xml:space="preserve">Observation </w:t>
      </w:r>
      <w:r>
        <w:rPr>
          <w:b/>
          <w:u w:val="single"/>
          <w:lang w:val="en-GB"/>
        </w:rPr>
        <w:t>2</w:t>
      </w:r>
      <w:r w:rsidRPr="001849A3">
        <w:rPr>
          <w:b/>
          <w:u w:val="single"/>
          <w:lang w:val="en-GB"/>
        </w:rPr>
        <w:t>:</w:t>
      </w:r>
      <w:r>
        <w:rPr>
          <w:b/>
          <w:lang w:val="en-GB"/>
        </w:rPr>
        <w:t xml:space="preserve"> For a given coverage level, the expected set of </w:t>
      </w:r>
      <w:proofErr w:type="spellStart"/>
      <w:r>
        <w:rPr>
          <w:b/>
          <w:lang w:val="en-GB"/>
        </w:rPr>
        <w:t>R</w:t>
      </w:r>
      <w:r>
        <w:rPr>
          <w:b/>
          <w:vertAlign w:val="subscript"/>
          <w:lang w:val="en-GB"/>
        </w:rPr>
        <w:t>desired</w:t>
      </w:r>
      <w:proofErr w:type="spellEnd"/>
      <w:r>
        <w:rPr>
          <w:b/>
          <w:vertAlign w:val="subscript"/>
          <w:lang w:val="en-GB"/>
        </w:rPr>
        <w:t xml:space="preserve"> </w:t>
      </w:r>
      <w:r>
        <w:rPr>
          <w:b/>
          <w:lang w:val="en-GB"/>
        </w:rPr>
        <w:t>should be much smaller than the complete set of R.</w:t>
      </w:r>
    </w:p>
    <w:p w14:paraId="40AD6F8D" w14:textId="4B9EF20A" w:rsidR="00175C8B" w:rsidRPr="00175C8B" w:rsidRDefault="00175C8B" w:rsidP="001849A3">
      <w:pPr>
        <w:rPr>
          <w:b/>
          <w:lang w:val="en-GB"/>
        </w:rPr>
      </w:pPr>
      <w:r>
        <w:rPr>
          <w:lang w:val="en-GB"/>
        </w:rPr>
        <w:t xml:space="preserve">Thus, we propose to link the set of candidates of </w:t>
      </w:r>
      <w:proofErr w:type="spellStart"/>
      <w:r>
        <w:rPr>
          <w:lang w:val="en-GB"/>
        </w:rPr>
        <w:t>R</w:t>
      </w:r>
      <w:r>
        <w:rPr>
          <w:vertAlign w:val="subscript"/>
          <w:lang w:val="en-GB"/>
        </w:rPr>
        <w:t>desired</w:t>
      </w:r>
      <w:proofErr w:type="spellEnd"/>
      <w:r>
        <w:rPr>
          <w:lang w:val="en-GB"/>
        </w:rPr>
        <w:t xml:space="preserve"> to the configure maximum number of repetitions for NPDCCH for the corresponding coverage level. One example table </w:t>
      </w:r>
      <w:r w:rsidR="00A263AB">
        <w:rPr>
          <w:lang w:val="en-GB"/>
        </w:rPr>
        <w:t xml:space="preserve">is shown below for the case of </w:t>
      </w:r>
      <w:proofErr w:type="gramStart"/>
      <w:r w:rsidR="00A263AB">
        <w:rPr>
          <w:lang w:val="en-GB"/>
        </w:rPr>
        <w:t>2 bit</w:t>
      </w:r>
      <w:proofErr w:type="gramEnd"/>
      <w:r w:rsidR="00A263AB">
        <w:rPr>
          <w:lang w:val="en-GB"/>
        </w:rPr>
        <w:t xml:space="preserve"> reporting.</w:t>
      </w:r>
    </w:p>
    <w:p w14:paraId="46CCF3C7" w14:textId="13CD0989" w:rsidR="00A263AB" w:rsidRDefault="00A263AB" w:rsidP="00A263AB">
      <w:pPr>
        <w:pStyle w:val="Caption"/>
        <w:keepNext/>
        <w:jc w:val="center"/>
      </w:pPr>
      <w:r>
        <w:t xml:space="preserve">Table </w:t>
      </w:r>
      <w:r w:rsidR="001B3708">
        <w:rPr>
          <w:noProof/>
        </w:rPr>
        <w:fldChar w:fldCharType="begin"/>
      </w:r>
      <w:r w:rsidR="001B3708">
        <w:rPr>
          <w:noProof/>
        </w:rPr>
        <w:instrText xml:space="preserve"> SEQ Table \* ARABIC </w:instrText>
      </w:r>
      <w:r w:rsidR="001B3708">
        <w:rPr>
          <w:noProof/>
        </w:rPr>
        <w:fldChar w:fldCharType="separate"/>
      </w:r>
      <w:r>
        <w:rPr>
          <w:noProof/>
        </w:rPr>
        <w:t>1</w:t>
      </w:r>
      <w:r w:rsidR="001B3708">
        <w:rPr>
          <w:noProof/>
        </w:rPr>
        <w:fldChar w:fldCharType="end"/>
      </w:r>
      <w:r>
        <w:t xml:space="preserve"> Example set of candidates for </w:t>
      </w:r>
      <w:proofErr w:type="spellStart"/>
      <w:r>
        <w:rPr>
          <w:lang w:val="en-GB"/>
        </w:rPr>
        <w:t>R</w:t>
      </w:r>
      <w:r>
        <w:rPr>
          <w:vertAlign w:val="subscript"/>
          <w:lang w:val="en-GB"/>
        </w:rPr>
        <w:t>desired</w:t>
      </w:r>
      <w:proofErr w:type="spellEnd"/>
      <w:r>
        <w:rPr>
          <w:vertAlign w:val="subscript"/>
          <w:lang w:val="en-GB"/>
        </w:rPr>
        <w:t xml:space="preserve"> </w:t>
      </w:r>
      <w:r>
        <w:rPr>
          <w:lang w:val="en-GB"/>
        </w:rPr>
        <w:t xml:space="preserve">for the case of </w:t>
      </w:r>
      <w:proofErr w:type="gramStart"/>
      <w:r>
        <w:rPr>
          <w:lang w:val="en-GB"/>
        </w:rPr>
        <w:t>2 bit</w:t>
      </w:r>
      <w:proofErr w:type="gramEnd"/>
      <w:r>
        <w:rPr>
          <w:lang w:val="en-GB"/>
        </w:rPr>
        <w:t xml:space="preserve"> reporting (‘00’ means not supported)</w:t>
      </w:r>
    </w:p>
    <w:tbl>
      <w:tblPr>
        <w:tblStyle w:val="PlainTable11"/>
        <w:tblW w:w="0" w:type="auto"/>
        <w:jc w:val="center"/>
        <w:tblLook w:val="04A0" w:firstRow="1" w:lastRow="0" w:firstColumn="1" w:lastColumn="0" w:noHBand="0" w:noVBand="1"/>
      </w:tblPr>
      <w:tblGrid>
        <w:gridCol w:w="728"/>
        <w:gridCol w:w="316"/>
        <w:gridCol w:w="316"/>
        <w:gridCol w:w="316"/>
        <w:gridCol w:w="416"/>
        <w:gridCol w:w="416"/>
        <w:gridCol w:w="416"/>
        <w:gridCol w:w="516"/>
        <w:gridCol w:w="516"/>
        <w:gridCol w:w="516"/>
        <w:gridCol w:w="616"/>
        <w:gridCol w:w="616"/>
        <w:gridCol w:w="616"/>
      </w:tblGrid>
      <w:tr w:rsidR="00A263AB" w:rsidRPr="00A263AB" w14:paraId="4DCAAF85" w14:textId="77777777" w:rsidTr="00A263AB">
        <w:trPr>
          <w:cnfStyle w:val="100000000000" w:firstRow="1" w:lastRow="0" w:firstColumn="0" w:lastColumn="0" w:oddVBand="0" w:evenVBand="0" w:oddHBand="0"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9C3038B" w14:textId="77777777" w:rsidR="00A263AB" w:rsidRPr="00A263AB" w:rsidRDefault="00A263AB" w:rsidP="00A263AB">
            <w:proofErr w:type="spellStart"/>
            <w:r w:rsidRPr="00A263AB">
              <w:t>Rmax</w:t>
            </w:r>
            <w:proofErr w:type="spellEnd"/>
          </w:p>
        </w:tc>
        <w:tc>
          <w:tcPr>
            <w:tcW w:w="0" w:type="auto"/>
            <w:hideMark/>
          </w:tcPr>
          <w:p w14:paraId="796BD8AA"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w:t>
            </w:r>
          </w:p>
        </w:tc>
        <w:tc>
          <w:tcPr>
            <w:tcW w:w="0" w:type="auto"/>
            <w:hideMark/>
          </w:tcPr>
          <w:p w14:paraId="3963FB8D"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2</w:t>
            </w:r>
          </w:p>
        </w:tc>
        <w:tc>
          <w:tcPr>
            <w:tcW w:w="0" w:type="auto"/>
            <w:hideMark/>
          </w:tcPr>
          <w:p w14:paraId="4BB62B8F"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4</w:t>
            </w:r>
          </w:p>
        </w:tc>
        <w:tc>
          <w:tcPr>
            <w:tcW w:w="0" w:type="auto"/>
            <w:hideMark/>
          </w:tcPr>
          <w:p w14:paraId="26B1F6E6"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8</w:t>
            </w:r>
          </w:p>
        </w:tc>
        <w:tc>
          <w:tcPr>
            <w:tcW w:w="0" w:type="auto"/>
            <w:hideMark/>
          </w:tcPr>
          <w:p w14:paraId="1459A941"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16</w:t>
            </w:r>
          </w:p>
        </w:tc>
        <w:tc>
          <w:tcPr>
            <w:tcW w:w="0" w:type="auto"/>
            <w:hideMark/>
          </w:tcPr>
          <w:p w14:paraId="4EBED1F8"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32</w:t>
            </w:r>
          </w:p>
        </w:tc>
        <w:tc>
          <w:tcPr>
            <w:tcW w:w="0" w:type="auto"/>
            <w:hideMark/>
          </w:tcPr>
          <w:p w14:paraId="0989E925"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64</w:t>
            </w:r>
          </w:p>
        </w:tc>
        <w:tc>
          <w:tcPr>
            <w:tcW w:w="0" w:type="auto"/>
            <w:hideMark/>
          </w:tcPr>
          <w:p w14:paraId="0AC1DFF3"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128</w:t>
            </w:r>
          </w:p>
        </w:tc>
        <w:tc>
          <w:tcPr>
            <w:tcW w:w="0" w:type="auto"/>
            <w:hideMark/>
          </w:tcPr>
          <w:p w14:paraId="4AB926E6"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256</w:t>
            </w:r>
          </w:p>
        </w:tc>
        <w:tc>
          <w:tcPr>
            <w:tcW w:w="0" w:type="auto"/>
            <w:hideMark/>
          </w:tcPr>
          <w:p w14:paraId="3C16132E"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512</w:t>
            </w:r>
          </w:p>
        </w:tc>
        <w:tc>
          <w:tcPr>
            <w:tcW w:w="0" w:type="auto"/>
            <w:hideMark/>
          </w:tcPr>
          <w:p w14:paraId="35EAAC72"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1024</w:t>
            </w:r>
          </w:p>
        </w:tc>
        <w:tc>
          <w:tcPr>
            <w:tcW w:w="0" w:type="auto"/>
            <w:hideMark/>
          </w:tcPr>
          <w:p w14:paraId="06E65800" w14:textId="77777777" w:rsidR="00A263AB" w:rsidRPr="00A263AB" w:rsidRDefault="00A263AB" w:rsidP="00A263AB">
            <w:pPr>
              <w:cnfStyle w:val="100000000000" w:firstRow="1" w:lastRow="0" w:firstColumn="0" w:lastColumn="0" w:oddVBand="0" w:evenVBand="0" w:oddHBand="0" w:evenHBand="0" w:firstRowFirstColumn="0" w:firstRowLastColumn="0" w:lastRowFirstColumn="0" w:lastRowLastColumn="0"/>
            </w:pPr>
            <w:r w:rsidRPr="00A263AB">
              <w:t>2048</w:t>
            </w:r>
          </w:p>
        </w:tc>
      </w:tr>
      <w:tr w:rsidR="00A263AB" w:rsidRPr="00A263AB" w14:paraId="5C3C60A8"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3BC7201" w14:textId="77777777" w:rsidR="00A263AB" w:rsidRPr="00A263AB" w:rsidRDefault="00A263AB" w:rsidP="00A263AB">
            <w:r w:rsidRPr="00A263AB">
              <w:t>‘01’</w:t>
            </w:r>
          </w:p>
        </w:tc>
        <w:tc>
          <w:tcPr>
            <w:tcW w:w="0" w:type="auto"/>
            <w:hideMark/>
          </w:tcPr>
          <w:p w14:paraId="1F6E97C3"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70C0D001"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w:t>
            </w:r>
          </w:p>
        </w:tc>
        <w:tc>
          <w:tcPr>
            <w:tcW w:w="0" w:type="auto"/>
            <w:hideMark/>
          </w:tcPr>
          <w:p w14:paraId="2FF8B11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w:t>
            </w:r>
          </w:p>
        </w:tc>
        <w:tc>
          <w:tcPr>
            <w:tcW w:w="0" w:type="auto"/>
            <w:hideMark/>
          </w:tcPr>
          <w:p w14:paraId="72AED3EF"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38057F72"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45F70990"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3136A84A"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8E2E398"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342075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128</w:t>
            </w:r>
          </w:p>
        </w:tc>
        <w:tc>
          <w:tcPr>
            <w:tcW w:w="0" w:type="auto"/>
            <w:hideMark/>
          </w:tcPr>
          <w:p w14:paraId="2720C5F6"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256</w:t>
            </w:r>
          </w:p>
        </w:tc>
        <w:tc>
          <w:tcPr>
            <w:tcW w:w="0" w:type="auto"/>
            <w:hideMark/>
          </w:tcPr>
          <w:p w14:paraId="2F57460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512</w:t>
            </w:r>
          </w:p>
        </w:tc>
        <w:tc>
          <w:tcPr>
            <w:tcW w:w="0" w:type="auto"/>
            <w:hideMark/>
          </w:tcPr>
          <w:p w14:paraId="42268EAD"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512</w:t>
            </w:r>
          </w:p>
        </w:tc>
      </w:tr>
      <w:tr w:rsidR="00A263AB" w:rsidRPr="00A263AB" w14:paraId="2C24D57E" w14:textId="77777777" w:rsidTr="00A263AB">
        <w:trPr>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354F6C2" w14:textId="77777777" w:rsidR="00A263AB" w:rsidRPr="00A263AB" w:rsidRDefault="00A263AB" w:rsidP="00A263AB">
            <w:r w:rsidRPr="00A263AB">
              <w:t>‘10’</w:t>
            </w:r>
          </w:p>
        </w:tc>
        <w:tc>
          <w:tcPr>
            <w:tcW w:w="0" w:type="auto"/>
            <w:hideMark/>
          </w:tcPr>
          <w:p w14:paraId="3D8B2F44"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1FA125C9"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2</w:t>
            </w:r>
          </w:p>
        </w:tc>
        <w:tc>
          <w:tcPr>
            <w:tcW w:w="0" w:type="auto"/>
            <w:hideMark/>
          </w:tcPr>
          <w:p w14:paraId="043360F2"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4</w:t>
            </w:r>
          </w:p>
        </w:tc>
        <w:tc>
          <w:tcPr>
            <w:tcW w:w="0" w:type="auto"/>
            <w:hideMark/>
          </w:tcPr>
          <w:p w14:paraId="421ADDFC"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8</w:t>
            </w:r>
          </w:p>
        </w:tc>
        <w:tc>
          <w:tcPr>
            <w:tcW w:w="0" w:type="auto"/>
            <w:hideMark/>
          </w:tcPr>
          <w:p w14:paraId="1BC2DD9F"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16</w:t>
            </w:r>
          </w:p>
        </w:tc>
        <w:tc>
          <w:tcPr>
            <w:tcW w:w="0" w:type="auto"/>
            <w:hideMark/>
          </w:tcPr>
          <w:p w14:paraId="1DBCE4C5"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32</w:t>
            </w:r>
          </w:p>
        </w:tc>
        <w:tc>
          <w:tcPr>
            <w:tcW w:w="0" w:type="auto"/>
            <w:hideMark/>
          </w:tcPr>
          <w:p w14:paraId="72A12265"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64</w:t>
            </w:r>
          </w:p>
        </w:tc>
        <w:tc>
          <w:tcPr>
            <w:tcW w:w="0" w:type="auto"/>
            <w:hideMark/>
          </w:tcPr>
          <w:p w14:paraId="2AB16BD0"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128</w:t>
            </w:r>
          </w:p>
        </w:tc>
        <w:tc>
          <w:tcPr>
            <w:tcW w:w="0" w:type="auto"/>
            <w:hideMark/>
          </w:tcPr>
          <w:p w14:paraId="7381CC6C"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256</w:t>
            </w:r>
          </w:p>
        </w:tc>
        <w:tc>
          <w:tcPr>
            <w:tcW w:w="0" w:type="auto"/>
            <w:hideMark/>
          </w:tcPr>
          <w:p w14:paraId="558C3E79"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512</w:t>
            </w:r>
          </w:p>
        </w:tc>
        <w:tc>
          <w:tcPr>
            <w:tcW w:w="0" w:type="auto"/>
            <w:hideMark/>
          </w:tcPr>
          <w:p w14:paraId="00458FE3"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1024</w:t>
            </w:r>
          </w:p>
        </w:tc>
        <w:tc>
          <w:tcPr>
            <w:tcW w:w="0" w:type="auto"/>
            <w:hideMark/>
          </w:tcPr>
          <w:p w14:paraId="07ADA879" w14:textId="77777777" w:rsidR="00A263AB" w:rsidRPr="00A263AB" w:rsidRDefault="00A263AB" w:rsidP="00A263AB">
            <w:pPr>
              <w:cnfStyle w:val="000000000000" w:firstRow="0" w:lastRow="0" w:firstColumn="0" w:lastColumn="0" w:oddVBand="0" w:evenVBand="0" w:oddHBand="0" w:evenHBand="0" w:firstRowFirstColumn="0" w:firstRowLastColumn="0" w:lastRowFirstColumn="0" w:lastRowLastColumn="0"/>
            </w:pPr>
            <w:r w:rsidRPr="00A263AB">
              <w:t>1024</w:t>
            </w:r>
          </w:p>
        </w:tc>
      </w:tr>
      <w:tr w:rsidR="00A263AB" w:rsidRPr="00A263AB" w14:paraId="23DACCFF" w14:textId="77777777" w:rsidTr="00A263AB">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C1F1915" w14:textId="77777777" w:rsidR="00A263AB" w:rsidRPr="00A263AB" w:rsidRDefault="00A263AB" w:rsidP="00A263AB">
            <w:r w:rsidRPr="00A263AB">
              <w:t>‘11’</w:t>
            </w:r>
          </w:p>
        </w:tc>
        <w:tc>
          <w:tcPr>
            <w:tcW w:w="0" w:type="auto"/>
            <w:hideMark/>
          </w:tcPr>
          <w:p w14:paraId="70120ECF"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7FCF0B07"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4</w:t>
            </w:r>
          </w:p>
        </w:tc>
        <w:tc>
          <w:tcPr>
            <w:tcW w:w="0" w:type="auto"/>
            <w:hideMark/>
          </w:tcPr>
          <w:p w14:paraId="44E6FC76"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8</w:t>
            </w:r>
          </w:p>
        </w:tc>
        <w:tc>
          <w:tcPr>
            <w:tcW w:w="0" w:type="auto"/>
            <w:hideMark/>
          </w:tcPr>
          <w:p w14:paraId="6C700A83"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16</w:t>
            </w:r>
          </w:p>
        </w:tc>
        <w:tc>
          <w:tcPr>
            <w:tcW w:w="0" w:type="auto"/>
            <w:hideMark/>
          </w:tcPr>
          <w:p w14:paraId="21504704"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32</w:t>
            </w:r>
          </w:p>
        </w:tc>
        <w:tc>
          <w:tcPr>
            <w:tcW w:w="0" w:type="auto"/>
            <w:hideMark/>
          </w:tcPr>
          <w:p w14:paraId="1FC12F02"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64</w:t>
            </w:r>
          </w:p>
        </w:tc>
        <w:tc>
          <w:tcPr>
            <w:tcW w:w="0" w:type="auto"/>
            <w:hideMark/>
          </w:tcPr>
          <w:p w14:paraId="51352F4D"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128</w:t>
            </w:r>
          </w:p>
        </w:tc>
        <w:tc>
          <w:tcPr>
            <w:tcW w:w="0" w:type="auto"/>
            <w:hideMark/>
          </w:tcPr>
          <w:p w14:paraId="00647312"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256</w:t>
            </w:r>
          </w:p>
        </w:tc>
        <w:tc>
          <w:tcPr>
            <w:tcW w:w="0" w:type="auto"/>
            <w:hideMark/>
          </w:tcPr>
          <w:p w14:paraId="289F21B4"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512</w:t>
            </w:r>
          </w:p>
        </w:tc>
        <w:tc>
          <w:tcPr>
            <w:tcW w:w="0" w:type="auto"/>
            <w:hideMark/>
          </w:tcPr>
          <w:p w14:paraId="7BDCB7A7"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1024</w:t>
            </w:r>
          </w:p>
        </w:tc>
        <w:tc>
          <w:tcPr>
            <w:tcW w:w="0" w:type="auto"/>
            <w:hideMark/>
          </w:tcPr>
          <w:p w14:paraId="5D7E71E9"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2048</w:t>
            </w:r>
          </w:p>
        </w:tc>
        <w:tc>
          <w:tcPr>
            <w:tcW w:w="0" w:type="auto"/>
            <w:hideMark/>
          </w:tcPr>
          <w:p w14:paraId="56E4D561" w14:textId="77777777" w:rsidR="00A263AB" w:rsidRPr="00A263AB" w:rsidRDefault="00A263AB" w:rsidP="00A263AB">
            <w:pPr>
              <w:cnfStyle w:val="000000100000" w:firstRow="0" w:lastRow="0" w:firstColumn="0" w:lastColumn="0" w:oddVBand="0" w:evenVBand="0" w:oddHBand="1" w:evenHBand="0" w:firstRowFirstColumn="0" w:firstRowLastColumn="0" w:lastRowFirstColumn="0" w:lastRowLastColumn="0"/>
            </w:pPr>
            <w:r w:rsidRPr="00A263AB">
              <w:t>2048</w:t>
            </w:r>
          </w:p>
        </w:tc>
      </w:tr>
    </w:tbl>
    <w:p w14:paraId="1171CE60" w14:textId="5606FC89" w:rsidR="001849A3" w:rsidRDefault="001849A3" w:rsidP="001849A3">
      <w:pPr>
        <w:rPr>
          <w:b/>
          <w:lang w:val="en-GB"/>
        </w:rPr>
      </w:pPr>
    </w:p>
    <w:p w14:paraId="6512EE6E" w14:textId="26E995B4" w:rsidR="001849A3" w:rsidRDefault="001849A3" w:rsidP="001849A3">
      <w:pPr>
        <w:rPr>
          <w:b/>
        </w:rPr>
      </w:pPr>
      <w:r w:rsidRPr="001849A3">
        <w:rPr>
          <w:b/>
          <w:u w:val="single"/>
          <w:lang w:val="en-GB"/>
        </w:rPr>
        <w:t>Proposal 5:</w:t>
      </w:r>
      <w:r>
        <w:rPr>
          <w:b/>
          <w:u w:val="single"/>
          <w:lang w:val="en-GB"/>
        </w:rPr>
        <w:t xml:space="preserve"> </w:t>
      </w:r>
      <w:r>
        <w:rPr>
          <w:b/>
          <w:lang w:val="en-GB"/>
        </w:rPr>
        <w:t>The DL quality reporting in msg3 uses N bits (FFS: N=2 or 3).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sidRPr="001849A3">
        <w:rPr>
          <w:b/>
          <w:i/>
        </w:rPr>
        <w:t>npdcch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6A20F174" w14:textId="3FB71F1D" w:rsidR="001849A3" w:rsidRPr="00712DEE" w:rsidRDefault="001849A3" w:rsidP="001849A3">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 (RAN2) and UE accuracy (RAN4).</w:t>
      </w:r>
    </w:p>
    <w:p w14:paraId="33FB9BA9" w14:textId="77777777" w:rsidR="001849A3" w:rsidRPr="001849A3" w:rsidRDefault="001849A3" w:rsidP="001849A3">
      <w:pPr>
        <w:rPr>
          <w:b/>
          <w:u w:val="single"/>
          <w:lang w:val="en-GB"/>
        </w:rPr>
      </w:pPr>
    </w:p>
    <w:p w14:paraId="31AAAA2C" w14:textId="37E03C81" w:rsidR="001849A3" w:rsidRDefault="001849A3" w:rsidP="001849A3">
      <w:pPr>
        <w:rPr>
          <w:b/>
          <w:lang w:val="en-GB"/>
        </w:rPr>
      </w:pPr>
    </w:p>
    <w:p w14:paraId="42482CF4" w14:textId="68B27025" w:rsidR="00A263AB" w:rsidRDefault="00A263AB" w:rsidP="00A263AB">
      <w:pPr>
        <w:pStyle w:val="Heading1"/>
      </w:pPr>
      <w:r>
        <w:lastRenderedPageBreak/>
        <w:t>Summary of proposals</w:t>
      </w:r>
    </w:p>
    <w:p w14:paraId="5BFADEF4" w14:textId="7E813B81" w:rsidR="00A263AB" w:rsidRDefault="00A263AB" w:rsidP="00151482">
      <w:pPr>
        <w:rPr>
          <w:lang w:val="en-GB"/>
        </w:rPr>
      </w:pPr>
      <w:r w:rsidRPr="00A263AB">
        <w:rPr>
          <w:lang w:val="en-GB"/>
        </w:rPr>
        <w:t>In this contribution we presented our views on DL quality reporting for NB-IoT. We made the following proposals</w:t>
      </w:r>
      <w:r>
        <w:rPr>
          <w:lang w:val="en-GB"/>
        </w:rPr>
        <w:t xml:space="preserve"> and observations.</w:t>
      </w:r>
    </w:p>
    <w:p w14:paraId="3ED4BD9F" w14:textId="77777777" w:rsidR="00A263AB" w:rsidRPr="00A263AB" w:rsidRDefault="00A263AB" w:rsidP="00151482">
      <w:pPr>
        <w:rPr>
          <w:lang w:val="en-GB"/>
        </w:rPr>
      </w:pPr>
    </w:p>
    <w:p w14:paraId="1291886C" w14:textId="77777777" w:rsidR="00696FED" w:rsidRDefault="00696FED" w:rsidP="00696FED">
      <w:pPr>
        <w:rPr>
          <w:b/>
          <w:lang w:val="en-GB"/>
        </w:rPr>
      </w:pPr>
      <w:r w:rsidRPr="001849A3">
        <w:rPr>
          <w:b/>
          <w:u w:val="single"/>
          <w:lang w:val="en-GB"/>
        </w:rPr>
        <w:t>Proposal 1:</w:t>
      </w:r>
      <w:r>
        <w:rPr>
          <w:lang w:val="en-GB"/>
        </w:rPr>
        <w:t xml:space="preserve"> </w:t>
      </w:r>
      <w:r>
        <w:rPr>
          <w:b/>
          <w:lang w:val="en-GB"/>
        </w:rPr>
        <w:t xml:space="preserve">The “DL quality reporting in msg3” is defined as “The lowest number of repetitions </w:t>
      </w:r>
      <w:proofErr w:type="spellStart"/>
      <w:r w:rsidRPr="001849A3">
        <w:rPr>
          <w:b/>
          <w:lang w:val="en-GB"/>
        </w:rPr>
        <w:t>R</w:t>
      </w:r>
      <w:r w:rsidRPr="001849A3">
        <w:rPr>
          <w:b/>
          <w:vertAlign w:val="subscript"/>
          <w:lang w:val="en-GB"/>
        </w:rPr>
        <w:t>desired</w:t>
      </w:r>
      <w:proofErr w:type="spellEnd"/>
      <w:r>
        <w:rPr>
          <w:b/>
          <w:lang w:val="en-GB"/>
        </w:rPr>
        <w:t xml:space="preserve"> needed for a NPDCCH transmitted in the ‘NPDCCH reference resource’ to be decoded with an error probability not exceeding 0.01”. </w:t>
      </w:r>
    </w:p>
    <w:p w14:paraId="7F9703D8" w14:textId="77777777" w:rsidR="00A263AB" w:rsidRDefault="00A263AB" w:rsidP="00A263AB">
      <w:pPr>
        <w:rPr>
          <w:b/>
          <w:u w:val="single"/>
          <w:lang w:val="en-GB"/>
        </w:rPr>
      </w:pPr>
    </w:p>
    <w:p w14:paraId="319CBB5E" w14:textId="77777777" w:rsidR="00696FED" w:rsidRPr="001849A3" w:rsidRDefault="00696FED" w:rsidP="00696FED">
      <w:pPr>
        <w:rPr>
          <w:b/>
          <w:lang w:val="en-GB"/>
        </w:rPr>
      </w:pPr>
      <w:r w:rsidRPr="001849A3">
        <w:rPr>
          <w:b/>
          <w:u w:val="single"/>
          <w:lang w:val="en-GB"/>
        </w:rPr>
        <w:t>Proposal 2:</w:t>
      </w:r>
      <w:r>
        <w:rPr>
          <w:b/>
          <w:lang w:val="en-GB"/>
        </w:rPr>
        <w:t xml:space="preserve"> The ‘NPDCCH reference resource’ is defined as ‘A candidate mapped onto the Type-2 common search space with aggregation level of AL=2 and starting in subframe </w:t>
      </w:r>
      <w:r>
        <w:rPr>
          <w:b/>
          <w:i/>
          <w:lang w:val="en-GB"/>
        </w:rPr>
        <w:t>s</w:t>
      </w:r>
      <w:r>
        <w:rPr>
          <w:b/>
          <w:i/>
          <w:vertAlign w:val="subscript"/>
          <w:lang w:val="en-GB"/>
        </w:rPr>
        <w:t>0</w:t>
      </w:r>
      <w:r>
        <w:rPr>
          <w:b/>
          <w:i/>
          <w:lang w:val="en-GB"/>
        </w:rPr>
        <w:t>”</w:t>
      </w:r>
      <w:r>
        <w:rPr>
          <w:b/>
          <w:lang w:val="en-GB"/>
        </w:rPr>
        <w:t xml:space="preserve"> </w:t>
      </w:r>
    </w:p>
    <w:p w14:paraId="64CCD8FE" w14:textId="77777777" w:rsidR="00696FED" w:rsidRDefault="00696FED" w:rsidP="00696FED">
      <w:pPr>
        <w:rPr>
          <w:b/>
          <w:lang w:val="en-GB"/>
        </w:rPr>
      </w:pPr>
    </w:p>
    <w:p w14:paraId="21AD6BEE" w14:textId="77777777" w:rsidR="00696FED" w:rsidRDefault="00696FED" w:rsidP="00696FED">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first subframe of the first candidate of the first Type-2 search space in the </w:t>
      </w:r>
      <w:proofErr w:type="gramStart"/>
      <w:r>
        <w:rPr>
          <w:b/>
          <w:lang w:val="en-GB"/>
        </w:rPr>
        <w:t>random access</w:t>
      </w:r>
      <w:proofErr w:type="gramEnd"/>
      <w:r>
        <w:rPr>
          <w:b/>
          <w:lang w:val="en-GB"/>
        </w:rPr>
        <w:t xml:space="preserve"> response window of the current random access attempt.</w:t>
      </w:r>
    </w:p>
    <w:p w14:paraId="529FA21B" w14:textId="7B112E51" w:rsidR="00A263AB" w:rsidRDefault="00A263AB" w:rsidP="00151482">
      <w:pPr>
        <w:rPr>
          <w:b/>
          <w:lang w:val="en-GB"/>
        </w:rPr>
      </w:pPr>
    </w:p>
    <w:p w14:paraId="4FC948C9" w14:textId="77777777" w:rsidR="00696FED" w:rsidRDefault="00696FED" w:rsidP="00696FED">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is</w:t>
      </w:r>
      <w:proofErr w:type="gramEnd"/>
      <w:r>
        <w:rPr>
          <w:b/>
          <w:lang w:val="en-GB"/>
        </w:rPr>
        <w:t xml:space="preserve"> based on “an </w:t>
      </w:r>
      <w:r w:rsidRPr="00712DEE">
        <w:rPr>
          <w:b/>
          <w:lang w:val="en-GB"/>
        </w:rPr>
        <w:t>unrestricted observation interval in time, and an unrestricted observation interval in frequency</w:t>
      </w:r>
      <w:r>
        <w:rPr>
          <w:b/>
          <w:lang w:val="en-GB"/>
        </w:rPr>
        <w:t>”.</w:t>
      </w:r>
    </w:p>
    <w:p w14:paraId="04203F6C" w14:textId="77777777" w:rsidR="00696FED" w:rsidRDefault="00696FED" w:rsidP="00696FED">
      <w:pPr>
        <w:rPr>
          <w:b/>
          <w:u w:val="single"/>
          <w:lang w:val="en-GB"/>
        </w:rPr>
      </w:pPr>
    </w:p>
    <w:p w14:paraId="546EEB34" w14:textId="3E41F9FD" w:rsidR="00696FED" w:rsidRDefault="00696FED" w:rsidP="00696FED">
      <w:pPr>
        <w:rPr>
          <w:b/>
          <w:lang w:val="en-GB"/>
        </w:rPr>
      </w:pPr>
      <w:r w:rsidRPr="001849A3">
        <w:rPr>
          <w:b/>
          <w:u w:val="single"/>
          <w:lang w:val="en-GB"/>
        </w:rPr>
        <w:t>Observation 1:</w:t>
      </w:r>
      <w:r>
        <w:rPr>
          <w:b/>
          <w:lang w:val="en-GB"/>
        </w:rPr>
        <w:t xml:space="preserve"> Reporting all the possible values of </w:t>
      </w:r>
      <w:proofErr w:type="spellStart"/>
      <w:r>
        <w:rPr>
          <w:b/>
          <w:lang w:val="en-GB"/>
        </w:rPr>
        <w:t>R</w:t>
      </w:r>
      <w:r>
        <w:rPr>
          <w:b/>
          <w:vertAlign w:val="subscript"/>
          <w:lang w:val="en-GB"/>
        </w:rPr>
        <w:t>desired</w:t>
      </w:r>
      <w:proofErr w:type="spellEnd"/>
      <w:r>
        <w:rPr>
          <w:b/>
          <w:lang w:val="en-GB"/>
        </w:rPr>
        <w:t xml:space="preserve"> requires 4 bits in msg3.</w:t>
      </w:r>
    </w:p>
    <w:p w14:paraId="5D2AD8BA" w14:textId="4AC1ABE4" w:rsidR="00696FED" w:rsidRDefault="00696FED" w:rsidP="00151482">
      <w:pPr>
        <w:rPr>
          <w:b/>
          <w:lang w:val="en-GB"/>
        </w:rPr>
      </w:pPr>
    </w:p>
    <w:p w14:paraId="3B62C34A" w14:textId="77777777" w:rsidR="00696FED" w:rsidRDefault="00696FED" w:rsidP="00696FED">
      <w:pPr>
        <w:rPr>
          <w:b/>
          <w:lang w:val="en-GB"/>
        </w:rPr>
      </w:pPr>
      <w:r w:rsidRPr="001849A3">
        <w:rPr>
          <w:b/>
          <w:u w:val="single"/>
          <w:lang w:val="en-GB"/>
        </w:rPr>
        <w:t xml:space="preserve">Observation </w:t>
      </w:r>
      <w:r>
        <w:rPr>
          <w:b/>
          <w:u w:val="single"/>
          <w:lang w:val="en-GB"/>
        </w:rPr>
        <w:t>2</w:t>
      </w:r>
      <w:r w:rsidRPr="001849A3">
        <w:rPr>
          <w:b/>
          <w:u w:val="single"/>
          <w:lang w:val="en-GB"/>
        </w:rPr>
        <w:t>:</w:t>
      </w:r>
      <w:r>
        <w:rPr>
          <w:b/>
          <w:lang w:val="en-GB"/>
        </w:rPr>
        <w:t xml:space="preserve"> For a given coverage level, the expected set of </w:t>
      </w:r>
      <w:proofErr w:type="spellStart"/>
      <w:r>
        <w:rPr>
          <w:b/>
          <w:lang w:val="en-GB"/>
        </w:rPr>
        <w:t>R</w:t>
      </w:r>
      <w:r>
        <w:rPr>
          <w:b/>
          <w:vertAlign w:val="subscript"/>
          <w:lang w:val="en-GB"/>
        </w:rPr>
        <w:t>desired</w:t>
      </w:r>
      <w:proofErr w:type="spellEnd"/>
      <w:r>
        <w:rPr>
          <w:b/>
          <w:vertAlign w:val="subscript"/>
          <w:lang w:val="en-GB"/>
        </w:rPr>
        <w:t xml:space="preserve"> </w:t>
      </w:r>
      <w:r>
        <w:rPr>
          <w:b/>
          <w:lang w:val="en-GB"/>
        </w:rPr>
        <w:t>should be much smaller than the complete set of R.</w:t>
      </w:r>
    </w:p>
    <w:p w14:paraId="02EC3967" w14:textId="5DFDAB9C" w:rsidR="00696FED" w:rsidRDefault="00696FED" w:rsidP="00151482">
      <w:pPr>
        <w:rPr>
          <w:b/>
          <w:lang w:val="en-GB"/>
        </w:rPr>
      </w:pPr>
    </w:p>
    <w:p w14:paraId="7FBA4EFC" w14:textId="77777777" w:rsidR="00696FED" w:rsidRDefault="00696FED" w:rsidP="00696FED">
      <w:pPr>
        <w:rPr>
          <w:b/>
        </w:rPr>
      </w:pPr>
      <w:r w:rsidRPr="001849A3">
        <w:rPr>
          <w:b/>
          <w:u w:val="single"/>
          <w:lang w:val="en-GB"/>
        </w:rPr>
        <w:t>Proposal 5:</w:t>
      </w:r>
      <w:r>
        <w:rPr>
          <w:b/>
          <w:u w:val="single"/>
          <w:lang w:val="en-GB"/>
        </w:rPr>
        <w:t xml:space="preserve"> </w:t>
      </w:r>
      <w:r>
        <w:rPr>
          <w:b/>
          <w:lang w:val="en-GB"/>
        </w:rPr>
        <w:t>The DL quality reporting in msg3 uses N bits (FFS: N=2 or 3).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sidRPr="001849A3">
        <w:rPr>
          <w:b/>
          <w:i/>
        </w:rPr>
        <w:t>npdcch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2975096B" w14:textId="77777777" w:rsidR="00696FED" w:rsidRPr="00712DEE" w:rsidRDefault="00696FED" w:rsidP="00696FED">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 (RAN2) and UE accuracy (RAN4).</w:t>
      </w:r>
    </w:p>
    <w:p w14:paraId="67AD559D" w14:textId="77777777" w:rsidR="00696FED" w:rsidRPr="00696FED" w:rsidRDefault="00696FED" w:rsidP="00151482">
      <w:pPr>
        <w:rPr>
          <w:b/>
        </w:rPr>
      </w:pPr>
    </w:p>
    <w:sectPr w:rsidR="00696FED" w:rsidRPr="00696FE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F6C1F" w14:textId="77777777" w:rsidR="00E867C5" w:rsidRDefault="00E867C5">
      <w:r>
        <w:separator/>
      </w:r>
    </w:p>
  </w:endnote>
  <w:endnote w:type="continuationSeparator" w:id="0">
    <w:p w14:paraId="6C1ADCF3" w14:textId="77777777" w:rsidR="00E867C5" w:rsidRDefault="00E867C5">
      <w:r>
        <w:continuationSeparator/>
      </w:r>
    </w:p>
  </w:endnote>
  <w:endnote w:type="continuationNotice" w:id="1">
    <w:p w14:paraId="28A55D36" w14:textId="77777777" w:rsidR="00E867C5" w:rsidRDefault="00E86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647B2" w14:textId="77777777" w:rsidR="00E867C5" w:rsidRDefault="00E867C5">
      <w:r>
        <w:separator/>
      </w:r>
    </w:p>
  </w:footnote>
  <w:footnote w:type="continuationSeparator" w:id="0">
    <w:p w14:paraId="4929BDF4" w14:textId="77777777" w:rsidR="00E867C5" w:rsidRDefault="00E867C5">
      <w:r>
        <w:continuationSeparator/>
      </w:r>
    </w:p>
  </w:footnote>
  <w:footnote w:type="continuationNotice" w:id="1">
    <w:p w14:paraId="1864D89D" w14:textId="77777777" w:rsidR="00E867C5" w:rsidRDefault="00E86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2"/>
  </w:num>
  <w:num w:numId="4">
    <w:abstractNumId w:val="11"/>
  </w:num>
  <w:num w:numId="5">
    <w:abstractNumId w:val="17"/>
  </w:num>
  <w:num w:numId="6">
    <w:abstractNumId w:val="7"/>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6"/>
  </w:num>
  <w:num w:numId="12">
    <w:abstractNumId w:val="4"/>
  </w:num>
  <w:num w:numId="13">
    <w:abstractNumId w:val="8"/>
  </w:num>
  <w:num w:numId="14">
    <w:abstractNumId w:val="3"/>
  </w:num>
  <w:num w:numId="15">
    <w:abstractNumId w:val="10"/>
  </w:num>
  <w:num w:numId="16">
    <w:abstractNumId w:val="15"/>
  </w:num>
  <w:num w:numId="17">
    <w:abstractNumId w:val="14"/>
  </w:num>
  <w:num w:numId="18">
    <w:abstractNumId w:val="1"/>
  </w:num>
  <w:num w:numId="19">
    <w:abstractNumId w:val="5"/>
  </w:num>
  <w:num w:numId="2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857856C-8E9A-4252-A5BB-5453C963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5</cp:revision>
  <cp:lastPrinted>2014-11-07T05:38:00Z</cp:lastPrinted>
  <dcterms:created xsi:type="dcterms:W3CDTF">2018-08-10T06:44:00Z</dcterms:created>
  <dcterms:modified xsi:type="dcterms:W3CDTF">2018-08-11T00:05:00Z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